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中国历史文化名镇名村基础数据表</w:t>
      </w:r>
    </w:p>
    <w:p>
      <w:pPr>
        <w:tabs>
          <w:tab w:val="left" w:pos="12960"/>
        </w:tabs>
        <w:spacing w:line="62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名称：     省（自治区、直辖市）       县（市、区）       镇（村）      填表人及电话：                  填表时间（盖章）：                                              </w:t>
      </w:r>
    </w:p>
    <w:tbl>
      <w:tblPr>
        <w:tblStyle w:val="7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69"/>
        <w:gridCol w:w="384"/>
        <w:gridCol w:w="16"/>
        <w:gridCol w:w="176"/>
        <w:gridCol w:w="122"/>
        <w:gridCol w:w="598"/>
        <w:gridCol w:w="387"/>
        <w:gridCol w:w="351"/>
        <w:gridCol w:w="87"/>
        <w:gridCol w:w="79"/>
        <w:gridCol w:w="157"/>
        <w:gridCol w:w="270"/>
        <w:gridCol w:w="133"/>
        <w:gridCol w:w="288"/>
        <w:gridCol w:w="720"/>
        <w:gridCol w:w="108"/>
        <w:gridCol w:w="612"/>
        <w:gridCol w:w="240"/>
        <w:gridCol w:w="48"/>
        <w:gridCol w:w="265"/>
        <w:gridCol w:w="593"/>
        <w:gridCol w:w="89"/>
        <w:gridCol w:w="32"/>
        <w:gridCol w:w="353"/>
        <w:gridCol w:w="206"/>
        <w:gridCol w:w="154"/>
        <w:gridCol w:w="171"/>
        <w:gridCol w:w="196"/>
        <w:gridCol w:w="265"/>
        <w:gridCol w:w="499"/>
        <w:gridCol w:w="669"/>
        <w:gridCol w:w="180"/>
        <w:gridCol w:w="167"/>
        <w:gridCol w:w="245"/>
        <w:gridCol w:w="308"/>
        <w:gridCol w:w="149"/>
        <w:gridCol w:w="163"/>
        <w:gridCol w:w="126"/>
        <w:gridCol w:w="284"/>
        <w:gridCol w:w="74"/>
        <w:gridCol w:w="169"/>
        <w:gridCol w:w="448"/>
        <w:gridCol w:w="275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7" w:leftChars="-6" w:hanging="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1.镇或村庄建成区文物保护单位等级数量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</w:p>
        </w:tc>
        <w:tc>
          <w:tcPr>
            <w:tcW w:w="698" w:type="dxa"/>
            <w:gridSpan w:val="4"/>
            <w:vMerge w:val="restart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   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  量</w:t>
            </w: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市县级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7" w:leftChars="-6" w:hanging="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2.镇或村庄建成区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未核定公布为文物保护单位的不可移动文物数量及建筑面积（m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107" w:leftChars="-51" w:firstLine="94" w:firstLineChars="4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107" w:leftChars="-51" w:firstLine="94" w:firstLineChars="4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7" w:leftChars="-6" w:hanging="6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镇或村庄建成区历史建筑数量及建筑面积（m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exac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.镇或村庄建成区文物保护单位、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4437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67" w:type="dxa"/>
            <w:gridSpan w:val="1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其中：核心保护范围的文物保护单位、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4571" w:type="dxa"/>
            <w:gridSpan w:val="1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.体现传统特色和典型特征的环境要素数量</w:t>
            </w:r>
          </w:p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.拥有形态完整、传统风</w:t>
            </w:r>
          </w:p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貌连续的历史街巷（河道）数量、总长度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437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总条数（处）：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总长度（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5651" w:type="dxa"/>
            <w:gridSpan w:val="21"/>
            <w:vAlign w:val="center"/>
          </w:tcPr>
          <w:p>
            <w:pPr>
              <w:tabs>
                <w:tab w:val="left" w:pos="12960"/>
              </w:tabs>
              <w:ind w:firstLine="2100" w:firstLineChars="10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长度</w:t>
            </w: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简介及主要特色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长度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简介及主要特色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75" w:type="dxa"/>
            <w:gridSpan w:val="4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街巷之间相交情况（要注明相交街道名称）：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.聚落与自然环境完整度</w:t>
            </w: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类别：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分两类：完整优美；一般。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75" w:type="dxa"/>
            <w:gridSpan w:val="4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反映聚落与周围自然环境的完整状况，要综合评价自然环境完整性、生态环境质量、建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筑物的和谐程度。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.空间格局及功能特色</w:t>
            </w: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空间格局完整情况（指十分完整或较为完整）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有何明显特殊功能（指消防、给排水、防盗、防御等）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需注明相应史志资料的名称、著者、年代和原文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反映何种规划布局特色理论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需注明相应史志资料的名称、著者、年代和原文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.核心保护范围用地面积规模</w:t>
            </w:r>
          </w:p>
        </w:tc>
        <w:tc>
          <w:tcPr>
            <w:tcW w:w="2790" w:type="dxa"/>
            <w:gridSpan w:val="9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核心保护范围用地面积（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55" w:type="dxa"/>
            <w:gridSpan w:val="10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保护范围用地面积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3807" w:type="dxa"/>
            <w:gridSpan w:val="14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、历史建筑用地面积比例</w:t>
            </w:r>
          </w:p>
        </w:tc>
        <w:tc>
          <w:tcPr>
            <w:tcW w:w="2790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核心保护范围内文物保护单位、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55" w:type="dxa"/>
            <w:gridSpan w:val="10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41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、历史建筑用地面积占核心保护范围全部用地面积比例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2089" w:type="dxa"/>
            <w:gridSpan w:val="8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.核心保护范围历史建筑数量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.核心保护范围原住居民人口规模及比例情况</w:t>
            </w:r>
          </w:p>
        </w:tc>
        <w:tc>
          <w:tcPr>
            <w:tcW w:w="1965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核心保护范围原住居民人口规模（人）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8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核心保护范围全部常住人口（人）</w:t>
            </w:r>
          </w:p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人口规模（人）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核心保护范围原住居民占全部常住人口比例（%）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6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核心保护范围每公顷面积常住人口数（人）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.传统节日、手工艺和风俗类型，源于本地的诗词、传说、戏曲、歌赋的数量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69" w:type="dxa"/>
            <w:gridSpan w:val="3"/>
            <w:vMerge w:val="restart"/>
            <w:vAlign w:val="top"/>
          </w:tcPr>
          <w:p>
            <w:pPr>
              <w:tabs>
                <w:tab w:val="left" w:pos="12960"/>
              </w:tabs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69" w:type="dxa"/>
            <w:gridSpan w:val="3"/>
            <w:vMerge w:val="continue"/>
            <w:vAlign w:val="top"/>
          </w:tcPr>
          <w:p>
            <w:pPr>
              <w:tabs>
                <w:tab w:val="left" w:pos="12960"/>
              </w:tabs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.拥有非物质文化遗产的等级</w:t>
            </w:r>
          </w:p>
        </w:tc>
        <w:tc>
          <w:tcPr>
            <w:tcW w:w="1069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最高等级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市县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.保护规划编制情况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编制单位名称</w:t>
            </w:r>
          </w:p>
        </w:tc>
        <w:tc>
          <w:tcPr>
            <w:tcW w:w="2227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资质等级编号</w:t>
            </w:r>
          </w:p>
        </w:tc>
        <w:tc>
          <w:tcPr>
            <w:tcW w:w="3224" w:type="dxa"/>
            <w:gridSpan w:val="1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保护规划批准部门及时间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71" w:hangingChars="34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建档并挂牌保护情况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已经建档的文物保护单位、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944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已经挂牌保护的文物保护单位、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已挂牌保护的文物保护单位、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.历史建筑登记建档并挂牌保护情况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已经登记建档的历史建筑数量（处）</w:t>
            </w:r>
          </w:p>
        </w:tc>
        <w:tc>
          <w:tcPr>
            <w:tcW w:w="944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已经挂牌保护的历史建筑数量（处）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41" w:type="dxa"/>
            <w:gridSpan w:val="10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已挂牌保护的历史建筑比例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550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.建立保护规划及修复建设公示栏情况</w:t>
            </w:r>
          </w:p>
        </w:tc>
        <w:tc>
          <w:tcPr>
            <w:tcW w:w="3296" w:type="dxa"/>
            <w:gridSpan w:val="1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ind w:left="7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.历史文化名镇名村保护标志牌设施数量</w:t>
            </w:r>
          </w:p>
        </w:tc>
        <w:tc>
          <w:tcPr>
            <w:tcW w:w="4306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.保护管理办法的制定情况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保护管理办法名称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72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批准或公布单位及时间</w:t>
            </w:r>
          </w:p>
        </w:tc>
        <w:tc>
          <w:tcPr>
            <w:tcW w:w="4306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.保护机构及人员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保护专门机构名称</w:t>
            </w:r>
          </w:p>
        </w:tc>
        <w:tc>
          <w:tcPr>
            <w:tcW w:w="5417" w:type="dxa"/>
            <w:gridSpan w:val="2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6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保护管理人员数量（人）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.保护维修资金的情况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近三年村镇建设资金总额（万元）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近三年保护维修资金总额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107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度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基础设施改造及环境整治资金</w:t>
            </w: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文物修缮资金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历史建筑修缮资金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日常管理</w:t>
            </w:r>
          </w:p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附件</w:t>
      </w:r>
      <w:r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  <w:t>2、3</w:t>
      </w:r>
      <w:r>
        <w:rPr>
          <w:rFonts w:hint="eastAsia" w:ascii="仿宋_GB2312" w:hAnsi="仿宋_GB2312" w:eastAsia="仿宋_GB2312" w:cs="仿宋_GB2312"/>
          <w:sz w:val="24"/>
          <w:szCs w:val="20"/>
        </w:rPr>
        <w:t>填表说明：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</w:rPr>
        <w:t>1.历史建筑是经城市、县人民政府确定公布的具有一定保护价值，能够反映历史风貌和地方特色，未公布为文物保护单位、也未登记为不可移动文物的建筑物、构筑物。历史建筑以院落为单位填报。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  <w:szCs w:val="22"/>
        </w:rPr>
        <w:t>.体现传统特色和典型特征的环境要素是指城墙、城（堡、寨）门、牌坊、古塔、</w:t>
      </w:r>
      <w:r>
        <w:rPr>
          <w:rFonts w:hint="eastAsia" w:ascii="仿宋_GB2312" w:hAnsi="宋体" w:eastAsia="仿宋_GB2312" w:cs="Times New Roman"/>
          <w:sz w:val="24"/>
          <w:szCs w:val="22"/>
          <w:lang w:eastAsia="zh-CN"/>
        </w:rPr>
        <w:t>园林、</w:t>
      </w:r>
      <w:r>
        <w:rPr>
          <w:rFonts w:hint="eastAsia" w:ascii="仿宋_GB2312" w:hAnsi="宋体" w:eastAsia="仿宋_GB2312" w:cs="Times New Roman"/>
          <w:sz w:val="24"/>
          <w:szCs w:val="22"/>
        </w:rPr>
        <w:t>古桥、古井、</w:t>
      </w: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100年以上</w:t>
      </w:r>
      <w:r>
        <w:rPr>
          <w:rFonts w:hint="eastAsia" w:ascii="仿宋_GB2312" w:hAnsi="宋体" w:eastAsia="仿宋_GB2312" w:cs="Times New Roman"/>
          <w:sz w:val="24"/>
          <w:szCs w:val="22"/>
        </w:rPr>
        <w:t>古树等。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4"/>
          <w:szCs w:val="22"/>
        </w:rPr>
        <w:t>.保护范围是指保护规划确定的核心保护范围和建设控制地带的总和。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4"/>
          <w:szCs w:val="22"/>
        </w:rPr>
        <w:t>.表格根据填报内容可自行增加。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3E51567D"/>
    <w:rsid w:val="007C3131"/>
    <w:rsid w:val="011C4C7B"/>
    <w:rsid w:val="018362EB"/>
    <w:rsid w:val="01B91D0C"/>
    <w:rsid w:val="027D2D3A"/>
    <w:rsid w:val="032A2222"/>
    <w:rsid w:val="03F139E0"/>
    <w:rsid w:val="043456A6"/>
    <w:rsid w:val="0495684C"/>
    <w:rsid w:val="05875FA9"/>
    <w:rsid w:val="076A2F4C"/>
    <w:rsid w:val="090221EB"/>
    <w:rsid w:val="09077801"/>
    <w:rsid w:val="0A9E5F43"/>
    <w:rsid w:val="0C010BE8"/>
    <w:rsid w:val="0D732BFC"/>
    <w:rsid w:val="0DDD0F23"/>
    <w:rsid w:val="0DFA7935"/>
    <w:rsid w:val="0E3FD411"/>
    <w:rsid w:val="0E582F4D"/>
    <w:rsid w:val="0F64072E"/>
    <w:rsid w:val="0FE97C61"/>
    <w:rsid w:val="10C5422A"/>
    <w:rsid w:val="111B209C"/>
    <w:rsid w:val="11513D10"/>
    <w:rsid w:val="117479FE"/>
    <w:rsid w:val="11DF30C9"/>
    <w:rsid w:val="127C6797"/>
    <w:rsid w:val="132C0590"/>
    <w:rsid w:val="138403CC"/>
    <w:rsid w:val="13877EBC"/>
    <w:rsid w:val="141A488D"/>
    <w:rsid w:val="1542409B"/>
    <w:rsid w:val="15802E15"/>
    <w:rsid w:val="167A005C"/>
    <w:rsid w:val="16AC65BD"/>
    <w:rsid w:val="17066ADD"/>
    <w:rsid w:val="176522C3"/>
    <w:rsid w:val="17D9680D"/>
    <w:rsid w:val="19063631"/>
    <w:rsid w:val="1A6525DA"/>
    <w:rsid w:val="1A6E76E0"/>
    <w:rsid w:val="1AF95B35"/>
    <w:rsid w:val="1C672639"/>
    <w:rsid w:val="1CE123EB"/>
    <w:rsid w:val="1D7A639C"/>
    <w:rsid w:val="1D81260B"/>
    <w:rsid w:val="1D875BE4"/>
    <w:rsid w:val="1DC835AB"/>
    <w:rsid w:val="1DF223D6"/>
    <w:rsid w:val="1E4F1F39"/>
    <w:rsid w:val="1E71779F"/>
    <w:rsid w:val="1EBA10F1"/>
    <w:rsid w:val="1ED57D2E"/>
    <w:rsid w:val="1F330EF8"/>
    <w:rsid w:val="1F494278"/>
    <w:rsid w:val="1FAE057F"/>
    <w:rsid w:val="1FD06747"/>
    <w:rsid w:val="2065497D"/>
    <w:rsid w:val="21A14E4F"/>
    <w:rsid w:val="23090EB2"/>
    <w:rsid w:val="236E24FF"/>
    <w:rsid w:val="237C4C1C"/>
    <w:rsid w:val="25696FE4"/>
    <w:rsid w:val="25EB6089"/>
    <w:rsid w:val="26597496"/>
    <w:rsid w:val="28447CD2"/>
    <w:rsid w:val="29F12CB0"/>
    <w:rsid w:val="2B406E77"/>
    <w:rsid w:val="2B795EE5"/>
    <w:rsid w:val="2B877655"/>
    <w:rsid w:val="2BCB74B2"/>
    <w:rsid w:val="2BE76212"/>
    <w:rsid w:val="2CEB4BC0"/>
    <w:rsid w:val="2CED0939"/>
    <w:rsid w:val="2CF021D7"/>
    <w:rsid w:val="2E2451F5"/>
    <w:rsid w:val="2FBE65BC"/>
    <w:rsid w:val="2FE210F8"/>
    <w:rsid w:val="2FF65D56"/>
    <w:rsid w:val="314D2D55"/>
    <w:rsid w:val="32E620B2"/>
    <w:rsid w:val="341744ED"/>
    <w:rsid w:val="342D5ABF"/>
    <w:rsid w:val="35B446E9"/>
    <w:rsid w:val="36D6243D"/>
    <w:rsid w:val="37557806"/>
    <w:rsid w:val="3818114C"/>
    <w:rsid w:val="388861A3"/>
    <w:rsid w:val="38FD0155"/>
    <w:rsid w:val="38FE7D34"/>
    <w:rsid w:val="39BC3B6C"/>
    <w:rsid w:val="3BEB0739"/>
    <w:rsid w:val="3C5938F5"/>
    <w:rsid w:val="3CCF6E64"/>
    <w:rsid w:val="3CE533DA"/>
    <w:rsid w:val="3D0870C9"/>
    <w:rsid w:val="3D9177ED"/>
    <w:rsid w:val="3E3208A1"/>
    <w:rsid w:val="3E51567D"/>
    <w:rsid w:val="3F543F56"/>
    <w:rsid w:val="402B55A8"/>
    <w:rsid w:val="40DA0D7C"/>
    <w:rsid w:val="41214BFD"/>
    <w:rsid w:val="41616D68"/>
    <w:rsid w:val="42075BA1"/>
    <w:rsid w:val="428C173D"/>
    <w:rsid w:val="42BF46CD"/>
    <w:rsid w:val="438356FB"/>
    <w:rsid w:val="43A713E9"/>
    <w:rsid w:val="448B2AB9"/>
    <w:rsid w:val="463C28E0"/>
    <w:rsid w:val="465F5FAB"/>
    <w:rsid w:val="46FA5CD4"/>
    <w:rsid w:val="471C20EE"/>
    <w:rsid w:val="47C3256A"/>
    <w:rsid w:val="48561630"/>
    <w:rsid w:val="48D82045"/>
    <w:rsid w:val="49D2118A"/>
    <w:rsid w:val="49FD527A"/>
    <w:rsid w:val="4A8F2BD7"/>
    <w:rsid w:val="4BE8304A"/>
    <w:rsid w:val="4DAF2772"/>
    <w:rsid w:val="4E760336"/>
    <w:rsid w:val="4E946A0E"/>
    <w:rsid w:val="4EEE3A0D"/>
    <w:rsid w:val="4FF359B6"/>
    <w:rsid w:val="510D2AA8"/>
    <w:rsid w:val="51937FE1"/>
    <w:rsid w:val="528648C0"/>
    <w:rsid w:val="52B44DA3"/>
    <w:rsid w:val="52EC6E19"/>
    <w:rsid w:val="5385101B"/>
    <w:rsid w:val="53AA2943"/>
    <w:rsid w:val="54FB77E7"/>
    <w:rsid w:val="561F12B3"/>
    <w:rsid w:val="56C97471"/>
    <w:rsid w:val="56CB143B"/>
    <w:rsid w:val="56FF8251"/>
    <w:rsid w:val="57407733"/>
    <w:rsid w:val="58005114"/>
    <w:rsid w:val="58E6430A"/>
    <w:rsid w:val="5929709E"/>
    <w:rsid w:val="597B2CA5"/>
    <w:rsid w:val="5A755946"/>
    <w:rsid w:val="5AC4067B"/>
    <w:rsid w:val="5AD22D98"/>
    <w:rsid w:val="5AE26D53"/>
    <w:rsid w:val="5BD032CE"/>
    <w:rsid w:val="5C734107"/>
    <w:rsid w:val="5C7F2AAC"/>
    <w:rsid w:val="5D495F0F"/>
    <w:rsid w:val="5D6E42D7"/>
    <w:rsid w:val="5E6F6B50"/>
    <w:rsid w:val="5F742D76"/>
    <w:rsid w:val="5FAF237A"/>
    <w:rsid w:val="5FDD95B7"/>
    <w:rsid w:val="61472304"/>
    <w:rsid w:val="66A31A8D"/>
    <w:rsid w:val="67C25F42"/>
    <w:rsid w:val="68817BAC"/>
    <w:rsid w:val="694F1BF9"/>
    <w:rsid w:val="69807E63"/>
    <w:rsid w:val="6A7D43A3"/>
    <w:rsid w:val="6A936D2C"/>
    <w:rsid w:val="6B5E41D4"/>
    <w:rsid w:val="6BB362CE"/>
    <w:rsid w:val="6D4F2C25"/>
    <w:rsid w:val="6E35746E"/>
    <w:rsid w:val="6E843F52"/>
    <w:rsid w:val="6F685621"/>
    <w:rsid w:val="71061683"/>
    <w:rsid w:val="714D0F73"/>
    <w:rsid w:val="71BA0F67"/>
    <w:rsid w:val="71E82A49"/>
    <w:rsid w:val="724063E2"/>
    <w:rsid w:val="72FD2525"/>
    <w:rsid w:val="73AF381F"/>
    <w:rsid w:val="74177616"/>
    <w:rsid w:val="747A33BB"/>
    <w:rsid w:val="749B6A70"/>
    <w:rsid w:val="75273889"/>
    <w:rsid w:val="75435CD8"/>
    <w:rsid w:val="760065B4"/>
    <w:rsid w:val="760D0CD1"/>
    <w:rsid w:val="765C63B7"/>
    <w:rsid w:val="76684159"/>
    <w:rsid w:val="76E57037"/>
    <w:rsid w:val="783469E8"/>
    <w:rsid w:val="784604CA"/>
    <w:rsid w:val="7847671C"/>
    <w:rsid w:val="78AA0A59"/>
    <w:rsid w:val="78FE532A"/>
    <w:rsid w:val="7967694A"/>
    <w:rsid w:val="797F3C93"/>
    <w:rsid w:val="7AA32BB5"/>
    <w:rsid w:val="7C3E1BE4"/>
    <w:rsid w:val="7D515947"/>
    <w:rsid w:val="7D7A4E9D"/>
    <w:rsid w:val="7E7703D7"/>
    <w:rsid w:val="7EBB59D9"/>
    <w:rsid w:val="ADCF0471"/>
    <w:rsid w:val="AFFB4588"/>
    <w:rsid w:val="D6B6C022"/>
    <w:rsid w:val="E1FEE081"/>
    <w:rsid w:val="EBD99A41"/>
    <w:rsid w:val="EC7F0B71"/>
    <w:rsid w:val="F8EE6764"/>
    <w:rsid w:val="FDFFAF6B"/>
    <w:rsid w:val="FF6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6662</Words>
  <Characters>6897</Characters>
  <Lines>0</Lines>
  <Paragraphs>0</Paragraphs>
  <TotalTime>5</TotalTime>
  <ScaleCrop>false</ScaleCrop>
  <LinksUpToDate>false</LinksUpToDate>
  <CharactersWithSpaces>7244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2023-05-17T11:26:00Z</dcterms:created>
  <dc:creator>付彬</dc:creator>
  <cp:lastModifiedBy>付彬</cp:lastModifiedBy>
  <cp:lastPrinted>2023-08-15T18:17:00Z</cp:lastPrinted>
  <dcterms:modified xsi:type="dcterms:W3CDTF">2023-08-15T08:04:20Z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72957F7F3E8F4F8185D974C2DE590AAB_13</vt:lpwstr>
  </property>
</Properties>
</file>