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2021年度文化和旅游领域改革创新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优秀案例拟入选名单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.北京市推动建设艺术创作全链条扶持政策体系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北京市文化和旅游局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.坚定文化自信 深化改革创新 高质量推进长城国家文化公园建设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河北省文化和旅游厅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.当好全区乌兰牧骑改革的排头兵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内蒙古自治区文化和旅游厅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.全方位打造“人民城市”公共文化新空间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上海市文化和旅游局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.创新开展“无限定空间非遗进景区”活动 让非遗在与旅游融合中更加“活”起来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江苏省文化和旅游厅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 xml:space="preserve">.打造“诗画浙江·百县千碗”美食旅游IP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探索美食文化和旅游融合发展新路径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浙江省文化和旅游厅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聚焦演艺主业 深化体制改革 江西国有文艺院团进入创新发展快车道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报送单位：江西省文化和旅游厅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.开辟转型升级新路径 着力打造海洋研学旅游首选目的地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青岛市文化和旅游局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.引导金融活水支持文旅企业纾困发展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湖北省文化和旅游厅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.在文旅助力乡村振兴中构建共享共生共赢的城乡融合之路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湖南省文化和旅游厅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“半条被子”映初心 城乡融合促发展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湖南省文化和旅游厅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.“走读广西”——文化和旅游公共服务新模式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广西壮族自治区文化和旅游厅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.广西防城港市探索边境旅游改革创新 大力推进边境旅游试验区建设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广西壮族自治区文化和旅游厅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.海南在全国率先实施旅游服务质保金保险制度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海南省旅游和文化广电体育厅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.“点亮”大漠星空 释放消费活力 打造“星星的故乡”文旅IP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宁夏回族自治区文化和旅游厅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深入推进县级文化馆图书馆总分馆制改革 推动城乡公共文化服务体系一体建设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报送单位：文化和旅游部公共服务司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.视频直播家乡年 非遗云端传乡情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文化和旅游部非物质文化遗产司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.坚持以用促建 探索开展文化和旅游市场 信用经济发展试点工作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文化和旅游部市场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管理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文化市场综合执法改革成效显著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文化和旅游部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文化市场综合执法监督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.全国旅游服务质量监测平台 助力文化和旅游市场治理提质增效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文化和旅游部信息中心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06B5"/>
    <w:rsid w:val="669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2022-10-28T02:48:00Z</dcterms:created>
  <dc:creator>MSW</dc:creator>
  <cp:lastModifiedBy>MSW</cp:lastModifiedBy>
  <dcterms:modified xsi:type="dcterms:W3CDTF">2022-10-28T02:54:49Z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